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A0" w:rsidRPr="006319A0" w:rsidRDefault="006319A0" w:rsidP="006319A0">
      <w:pPr>
        <w:tabs>
          <w:tab w:val="right" w:pos="0"/>
        </w:tabs>
        <w:spacing w:before="0" w:line="276" w:lineRule="auto"/>
        <w:ind w:firstLine="284"/>
        <w:rPr>
          <w:rFonts w:cs="Times Armenian"/>
          <w:bCs/>
          <w:szCs w:val="22"/>
          <w:lang w:val="hy-AM"/>
        </w:rPr>
      </w:pPr>
      <w:r w:rsidRPr="006319A0">
        <w:rPr>
          <w:rFonts w:eastAsia="Calibri"/>
          <w:i/>
          <w:iCs/>
          <w:color w:val="000000"/>
          <w:szCs w:val="22"/>
          <w:lang w:val="hy-AM"/>
        </w:rPr>
        <w:t>2022թ. պետական բյուջեի մակրոտնտեսական շրջանակ</w:t>
      </w:r>
    </w:p>
    <w:tbl>
      <w:tblPr>
        <w:tblStyle w:val="GridTable1Light-Accent51112"/>
        <w:tblpPr w:leftFromText="180" w:rightFromText="180" w:vertAnchor="text" w:horzAnchor="margin" w:tblpXSpec="right" w:tblpY="107"/>
        <w:tblW w:w="948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134"/>
        <w:gridCol w:w="1153"/>
        <w:gridCol w:w="1134"/>
        <w:gridCol w:w="1281"/>
      </w:tblGrid>
      <w:tr w:rsidR="006319A0" w:rsidRPr="00A83C94" w:rsidTr="006319A0">
        <w:trPr>
          <w:trHeight w:val="258"/>
          <w:tblHeader/>
        </w:trPr>
        <w:tc>
          <w:tcPr>
            <w:tcW w:w="3510" w:type="dxa"/>
            <w:vMerge w:val="restart"/>
            <w:shd w:val="clear" w:color="auto" w:fill="0070C0"/>
            <w:noWrap/>
          </w:tcPr>
          <w:p w:rsidR="006319A0" w:rsidRPr="00A83C94" w:rsidRDefault="006319A0" w:rsidP="009224D8">
            <w:pPr>
              <w:spacing w:before="0" w:line="276" w:lineRule="auto"/>
              <w:rPr>
                <w:rFonts w:cs="Sylfaen"/>
                <w:b w:val="0"/>
                <w:i/>
                <w:i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i/>
                <w:iCs/>
                <w:sz w:val="20"/>
                <w:szCs w:val="20"/>
              </w:rPr>
              <w:t>Հիմնական</w:t>
            </w:r>
            <w:proofErr w:type="spellEnd"/>
            <w:r w:rsidRPr="00A83C94">
              <w:rPr>
                <w:rFonts w:cs="Sylfaen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i/>
                <w:iCs/>
                <w:sz w:val="20"/>
                <w:szCs w:val="20"/>
              </w:rPr>
              <w:t>մակրոտնտեսական</w:t>
            </w:r>
            <w:proofErr w:type="spellEnd"/>
            <w:r w:rsidRPr="00A83C94">
              <w:rPr>
                <w:rFonts w:cs="Sylfaen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i/>
                <w:iCs/>
                <w:sz w:val="20"/>
                <w:szCs w:val="20"/>
              </w:rPr>
              <w:t>ցուցանիշներ</w:t>
            </w:r>
            <w:proofErr w:type="spellEnd"/>
          </w:p>
        </w:tc>
        <w:tc>
          <w:tcPr>
            <w:tcW w:w="1276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153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Arial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281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Arial"/>
                <w:bCs/>
                <w:sz w:val="20"/>
                <w:szCs w:val="20"/>
              </w:rPr>
              <w:t>2022</w:t>
            </w:r>
          </w:p>
        </w:tc>
      </w:tr>
      <w:tr w:rsidR="006319A0" w:rsidRPr="00A83C94" w:rsidTr="006319A0">
        <w:trPr>
          <w:trHeight w:val="272"/>
          <w:tblHeader/>
        </w:trPr>
        <w:tc>
          <w:tcPr>
            <w:tcW w:w="3510" w:type="dxa"/>
            <w:vMerge/>
            <w:shd w:val="clear" w:color="auto" w:fill="0070C0"/>
            <w:noWrap/>
          </w:tcPr>
          <w:p w:rsidR="006319A0" w:rsidRPr="00A83C94" w:rsidRDefault="006319A0" w:rsidP="009224D8">
            <w:pPr>
              <w:spacing w:before="0" w:line="276" w:lineRule="auto"/>
              <w:rPr>
                <w:rFonts w:cs="Sylfae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134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153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134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sz w:val="20"/>
                <w:szCs w:val="20"/>
              </w:rPr>
              <w:t>սպասում</w:t>
            </w:r>
            <w:proofErr w:type="spellEnd"/>
          </w:p>
        </w:tc>
        <w:tc>
          <w:tcPr>
            <w:tcW w:w="1281" w:type="dxa"/>
            <w:shd w:val="clear" w:color="auto" w:fill="0070C0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sz w:val="20"/>
                <w:szCs w:val="20"/>
              </w:rPr>
              <w:t>ծրագիր</w:t>
            </w:r>
            <w:proofErr w:type="spellEnd"/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Cs/>
                <w:sz w:val="20"/>
                <w:szCs w:val="20"/>
              </w:rPr>
              <w:t>Անվանական</w:t>
            </w:r>
            <w:proofErr w:type="spellEnd"/>
            <w:r w:rsidRPr="00A83C94">
              <w:rPr>
                <w:rFonts w:cs="Sylfaen"/>
                <w:bCs/>
                <w:sz w:val="20"/>
                <w:szCs w:val="20"/>
              </w:rPr>
              <w:t xml:space="preserve"> ՀՆԱ, </w:t>
            </w:r>
            <w:proofErr w:type="spellStart"/>
            <w:r w:rsidRPr="00A83C94">
              <w:rPr>
                <w:rFonts w:cs="Sylfaen"/>
                <w:bCs/>
                <w:sz w:val="20"/>
                <w:szCs w:val="20"/>
              </w:rPr>
              <w:t>մլրդ</w:t>
            </w:r>
            <w:proofErr w:type="spellEnd"/>
            <w:r w:rsidRPr="00A83C94">
              <w:rPr>
                <w:rFonts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Cs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6,017.0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6,543.3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6,181.7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7,031.2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7,869.4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Տնտեսական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աճ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3C94">
              <w:rPr>
                <w:b w:val="0"/>
                <w:color w:val="000000"/>
                <w:sz w:val="20"/>
                <w:szCs w:val="20"/>
                <w:lang w:val="en-US"/>
              </w:rPr>
              <w:t>-7.4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6.5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7.0</w:t>
            </w:r>
          </w:p>
        </w:tc>
      </w:tr>
      <w:tr w:rsidR="006319A0" w:rsidRPr="00A83C94" w:rsidTr="006319A0">
        <w:trPr>
          <w:trHeight w:val="26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r w:rsidRPr="00A83C94">
              <w:rPr>
                <w:rFonts w:cs="Sylfaen"/>
                <w:b w:val="0"/>
                <w:sz w:val="20"/>
                <w:szCs w:val="20"/>
              </w:rPr>
              <w:t xml:space="preserve">ՀՆԱ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դեֆլյատորի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աճ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6.8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4.6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r w:rsidRPr="00A83C94">
              <w:rPr>
                <w:rFonts w:cs="Sylfaen"/>
                <w:b w:val="0"/>
                <w:sz w:val="20"/>
                <w:szCs w:val="20"/>
                <w:lang w:val="hy-AM"/>
              </w:rPr>
              <w:t>Գնաճ (ժամանակաշրջանի վերջ), %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0.7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3.7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7.4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5.2</w:t>
            </w:r>
          </w:p>
        </w:tc>
      </w:tr>
      <w:tr w:rsidR="006319A0" w:rsidRPr="00A83C94" w:rsidTr="006319A0">
        <w:trPr>
          <w:trHeight w:val="265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r w:rsidRPr="00A83C94">
              <w:rPr>
                <w:rFonts w:cs="Sylfaen"/>
                <w:b w:val="0"/>
                <w:sz w:val="20"/>
                <w:szCs w:val="20"/>
                <w:lang w:val="hy-AM"/>
              </w:rPr>
              <w:t>Գնաճ (միջին), %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83C94">
              <w:rPr>
                <w:b w:val="0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1.4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1.2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7.0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5.6</w:t>
            </w:r>
          </w:p>
        </w:tc>
      </w:tr>
      <w:tr w:rsidR="006319A0" w:rsidRPr="00A83C94" w:rsidTr="006319A0">
        <w:trPr>
          <w:trHeight w:val="258"/>
        </w:trPr>
        <w:tc>
          <w:tcPr>
            <w:tcW w:w="9488" w:type="dxa"/>
            <w:gridSpan w:val="6"/>
            <w:shd w:val="clear" w:color="auto" w:fill="0070C0"/>
            <w:noWrap/>
            <w:vAlign w:val="center"/>
          </w:tcPr>
          <w:p w:rsidR="006319A0" w:rsidRPr="00A83C94" w:rsidRDefault="006319A0" w:rsidP="009224D8">
            <w:pPr>
              <w:spacing w:before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Sylfaen"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իրական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աճն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ըստ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ճյուղերի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ավելացված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արժեքների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>, %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Արդյունաբերություն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4.9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11.9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4.3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8.0</w:t>
            </w:r>
          </w:p>
        </w:tc>
      </w:tr>
      <w:tr w:rsidR="006319A0" w:rsidRPr="00A83C94" w:rsidTr="006319A0">
        <w:trPr>
          <w:trHeight w:val="65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Գյուղատնտեսություն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-6.9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-5.8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-4.1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5.6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3.9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Շինարարություն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0.6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6.5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-6.7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1.5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18.0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9.1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10.0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-9.7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8.1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5.9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Զուտ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8.0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7.1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-10.0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7.1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sz w:val="20"/>
                <w:szCs w:val="20"/>
              </w:rPr>
              <w:t>6.8</w:t>
            </w:r>
          </w:p>
        </w:tc>
      </w:tr>
      <w:tr w:rsidR="006319A0" w:rsidRPr="00A83C94" w:rsidTr="006319A0">
        <w:trPr>
          <w:trHeight w:val="258"/>
        </w:trPr>
        <w:tc>
          <w:tcPr>
            <w:tcW w:w="9488" w:type="dxa"/>
            <w:gridSpan w:val="6"/>
            <w:shd w:val="clear" w:color="auto" w:fill="0070C0"/>
            <w:noWrap/>
            <w:vAlign w:val="center"/>
          </w:tcPr>
          <w:p w:rsidR="006319A0" w:rsidRPr="00A83C94" w:rsidRDefault="006319A0" w:rsidP="009224D8">
            <w:pPr>
              <w:spacing w:before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3C94">
              <w:rPr>
                <w:rFonts w:cs="Sylfaen"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ծախսային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բաղադրիչների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իրական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աճերը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>, %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Վերջնական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սպառում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-10.1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7.7</w:t>
            </w:r>
          </w:p>
        </w:tc>
        <w:tc>
          <w:tcPr>
            <w:tcW w:w="1281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4.7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i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i/>
                <w:sz w:val="20"/>
                <w:szCs w:val="20"/>
              </w:rPr>
              <w:t>Պետական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-1.4</w:t>
            </w:r>
          </w:p>
        </w:tc>
        <w:tc>
          <w:tcPr>
            <w:tcW w:w="1281" w:type="dxa"/>
            <w:shd w:val="clear" w:color="auto" w:fill="D9E2F3"/>
          </w:tcPr>
          <w:p w:rsidR="006319A0" w:rsidRPr="008413F5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72014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Pr="00872014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i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i/>
                <w:sz w:val="20"/>
                <w:szCs w:val="20"/>
              </w:rPr>
              <w:t>Մասնավոր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9.6</w:t>
            </w:r>
          </w:p>
        </w:tc>
        <w:tc>
          <w:tcPr>
            <w:tcW w:w="1281" w:type="dxa"/>
            <w:shd w:val="clear" w:color="auto" w:fill="D9E2F3"/>
          </w:tcPr>
          <w:p w:rsidR="006319A0" w:rsidRPr="00872014" w:rsidRDefault="006319A0" w:rsidP="009224D8">
            <w:pPr>
              <w:spacing w:before="0" w:after="20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6.0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left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Հիմնական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միջոցներում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ներդրումներ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3.6</w:t>
            </w:r>
          </w:p>
        </w:tc>
        <w:tc>
          <w:tcPr>
            <w:tcW w:w="1281" w:type="dxa"/>
            <w:shd w:val="clear" w:color="auto" w:fill="D9E2F3"/>
            <w:vAlign w:val="center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22.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i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i/>
                <w:sz w:val="20"/>
                <w:szCs w:val="20"/>
              </w:rPr>
              <w:t>Պետական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15.6</w:t>
            </w:r>
          </w:p>
        </w:tc>
        <w:tc>
          <w:tcPr>
            <w:tcW w:w="1281" w:type="dxa"/>
            <w:shd w:val="clear" w:color="auto" w:fill="D9E2F3"/>
          </w:tcPr>
          <w:p w:rsidR="006319A0" w:rsidRPr="008413F5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72014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872014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i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i/>
                <w:sz w:val="20"/>
                <w:szCs w:val="20"/>
              </w:rPr>
              <w:t>Մասնավոր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-12.0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0.6</w:t>
            </w:r>
          </w:p>
        </w:tc>
        <w:tc>
          <w:tcPr>
            <w:tcW w:w="1281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15.6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Արտահանում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-33.4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7.6</w:t>
            </w:r>
          </w:p>
        </w:tc>
        <w:tc>
          <w:tcPr>
            <w:tcW w:w="1281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14.3</w:t>
            </w:r>
          </w:p>
        </w:tc>
      </w:tr>
      <w:tr w:rsidR="006319A0" w:rsidRPr="00A83C94" w:rsidTr="006319A0">
        <w:trPr>
          <w:trHeight w:val="272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Ներմուծում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  <w:szCs w:val="20"/>
              </w:rPr>
              <w:t>-31.4</w:t>
            </w:r>
          </w:p>
        </w:tc>
        <w:tc>
          <w:tcPr>
            <w:tcW w:w="1134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8.2</w:t>
            </w:r>
          </w:p>
        </w:tc>
        <w:tc>
          <w:tcPr>
            <w:tcW w:w="1281" w:type="dxa"/>
            <w:shd w:val="clear" w:color="auto" w:fill="D9E2F3"/>
          </w:tcPr>
          <w:p w:rsidR="006319A0" w:rsidRPr="0087201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72014">
              <w:rPr>
                <w:b w:val="0"/>
                <w:sz w:val="20"/>
                <w:szCs w:val="20"/>
              </w:rPr>
              <w:t>15.3</w:t>
            </w:r>
          </w:p>
        </w:tc>
      </w:tr>
      <w:tr w:rsidR="006319A0" w:rsidRPr="00A83C94" w:rsidTr="006319A0">
        <w:trPr>
          <w:trHeight w:val="258"/>
        </w:trPr>
        <w:tc>
          <w:tcPr>
            <w:tcW w:w="9488" w:type="dxa"/>
            <w:gridSpan w:val="6"/>
            <w:shd w:val="clear" w:color="auto" w:fill="0070C0"/>
            <w:noWrap/>
            <w:vAlign w:val="center"/>
          </w:tcPr>
          <w:p w:rsidR="006319A0" w:rsidRPr="00A83C94" w:rsidRDefault="006319A0" w:rsidP="009224D8">
            <w:pPr>
              <w:spacing w:before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Արտաքին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հատված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մլն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ԱՄՆ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դոլար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>)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Ընթացիկ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հաշիվ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-875.9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-1,002.3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-478.7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-241.8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-455.6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left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Ապրանքների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և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ծառայությունների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-1,699.8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-1,794.8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-1,256.1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-1,334.6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-1,657.5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4,941.7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5,718.1</w:t>
            </w:r>
          </w:p>
        </w:tc>
        <w:tc>
          <w:tcPr>
            <w:tcW w:w="1153" w:type="dxa"/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3,762.6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4,521.2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5,270.7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Փոփոխություն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15.7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-34.2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20.2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16.6</w:t>
            </w:r>
          </w:p>
        </w:tc>
      </w:tr>
      <w:tr w:rsidR="006319A0" w:rsidRPr="00A83C94" w:rsidTr="006319A0">
        <w:trPr>
          <w:trHeight w:val="430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6,641.5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7,512.9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5,018.7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5,855.8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6,928.2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Փոփոխություն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13.1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-33.2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16.7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18.3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Դրամական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փոխանցումներ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1,136.2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1,143.8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1,040.2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1,398.8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  <w:lang w:val="hy-AM"/>
              </w:rPr>
            </w:pPr>
            <w:r w:rsidRPr="00A83C94">
              <w:rPr>
                <w:b w:val="0"/>
                <w:sz w:val="20"/>
                <w:szCs w:val="20"/>
                <w:lang w:val="hy-AM"/>
              </w:rPr>
              <w:t>1,468.7</w:t>
            </w:r>
          </w:p>
        </w:tc>
      </w:tr>
      <w:tr w:rsidR="006319A0" w:rsidRPr="00A83C94" w:rsidTr="006319A0">
        <w:trPr>
          <w:trHeight w:val="177"/>
        </w:trPr>
        <w:tc>
          <w:tcPr>
            <w:tcW w:w="9488" w:type="dxa"/>
            <w:gridSpan w:val="6"/>
            <w:shd w:val="clear" w:color="auto" w:fill="0070C0"/>
            <w:noWrap/>
            <w:vAlign w:val="center"/>
          </w:tcPr>
          <w:p w:rsidR="006319A0" w:rsidRPr="00A83C94" w:rsidRDefault="006319A0" w:rsidP="009224D8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bookmarkStart w:id="0" w:name="_GoBack" w:colFirst="3" w:colLast="4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ՀՆԱ-ի </w:t>
            </w:r>
            <w:proofErr w:type="spellStart"/>
            <w:r w:rsidRPr="00A83C94">
              <w:rPr>
                <w:rFonts w:cs="Sylfaen"/>
                <w:sz w:val="20"/>
                <w:szCs w:val="20"/>
                <w:u w:val="single"/>
              </w:rPr>
              <w:t>նկատմամբ</w:t>
            </w:r>
            <w:proofErr w:type="spellEnd"/>
            <w:r w:rsidRPr="00A83C94">
              <w:rPr>
                <w:rFonts w:cs="Sylfaen"/>
                <w:sz w:val="20"/>
                <w:szCs w:val="20"/>
                <w:u w:val="single"/>
              </w:rPr>
              <w:t xml:space="preserve"> %</w:t>
            </w:r>
          </w:p>
        </w:tc>
      </w:tr>
      <w:bookmarkEnd w:id="0"/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Ընթացիկ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հաշիվ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-7.0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-7.4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-3.8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-1.7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-3.0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  <w:noWrap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left"/>
              <w:rPr>
                <w:rFonts w:cs="Sylfaen"/>
                <w:b w:val="0"/>
                <w:sz w:val="20"/>
                <w:szCs w:val="20"/>
                <w:u w:val="single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lastRenderedPageBreak/>
              <w:t>Ապրանքների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և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ծառայությունների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-13.2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-9.9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-9.6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-10.9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42.0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29.8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32.6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34.5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55.2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39.7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42.2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45.4</w:t>
            </w:r>
          </w:p>
        </w:tc>
      </w:tr>
      <w:tr w:rsidR="006319A0" w:rsidRPr="00A83C94" w:rsidTr="006319A0">
        <w:trPr>
          <w:trHeight w:val="258"/>
        </w:trPr>
        <w:tc>
          <w:tcPr>
            <w:tcW w:w="3510" w:type="dxa"/>
            <w:shd w:val="clear" w:color="auto" w:fill="9CC2E5" w:themeFill="accent1" w:themeFillTint="99"/>
          </w:tcPr>
          <w:p w:rsidR="006319A0" w:rsidRPr="00A83C94" w:rsidRDefault="006319A0" w:rsidP="009224D8">
            <w:pPr>
              <w:spacing w:before="0" w:line="276" w:lineRule="auto"/>
              <w:ind w:firstLine="0"/>
              <w:rPr>
                <w:rFonts w:cs="Sylfaen"/>
                <w:b w:val="0"/>
                <w:sz w:val="20"/>
                <w:szCs w:val="20"/>
              </w:rPr>
            </w:pP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Դրամական</w:t>
            </w:r>
            <w:proofErr w:type="spellEnd"/>
            <w:r w:rsidRPr="00A83C94">
              <w:rPr>
                <w:rFonts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A83C94">
              <w:rPr>
                <w:rFonts w:cs="Sylfaen"/>
                <w:b w:val="0"/>
                <w:sz w:val="20"/>
                <w:szCs w:val="20"/>
              </w:rPr>
              <w:t>փոխանցումներ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9.1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8.4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A83C94">
              <w:rPr>
                <w:b w:val="0"/>
                <w:color w:val="000000"/>
                <w:sz w:val="20"/>
              </w:rPr>
              <w:t>8.2</w:t>
            </w:r>
          </w:p>
        </w:tc>
        <w:tc>
          <w:tcPr>
            <w:tcW w:w="1134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10.1</w:t>
            </w:r>
          </w:p>
        </w:tc>
        <w:tc>
          <w:tcPr>
            <w:tcW w:w="1281" w:type="dxa"/>
            <w:shd w:val="clear" w:color="auto" w:fill="D9E2F3"/>
          </w:tcPr>
          <w:p w:rsidR="006319A0" w:rsidRPr="00A83C94" w:rsidRDefault="006319A0" w:rsidP="009224D8">
            <w:pPr>
              <w:spacing w:before="0" w:line="276" w:lineRule="auto"/>
              <w:ind w:firstLine="0"/>
              <w:jc w:val="center"/>
              <w:rPr>
                <w:b w:val="0"/>
                <w:color w:val="000000"/>
                <w:sz w:val="20"/>
              </w:rPr>
            </w:pPr>
            <w:r w:rsidRPr="00A83C94">
              <w:rPr>
                <w:b w:val="0"/>
                <w:color w:val="000000"/>
                <w:sz w:val="20"/>
              </w:rPr>
              <w:t>9.6</w:t>
            </w:r>
          </w:p>
        </w:tc>
      </w:tr>
    </w:tbl>
    <w:p w:rsidR="00204826" w:rsidRDefault="00204826"/>
    <w:sectPr w:rsidR="0020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A0" w:rsidRDefault="006319A0" w:rsidP="006319A0">
      <w:pPr>
        <w:spacing w:before="0" w:line="240" w:lineRule="auto"/>
      </w:pPr>
      <w:r>
        <w:separator/>
      </w:r>
    </w:p>
  </w:endnote>
  <w:endnote w:type="continuationSeparator" w:id="0">
    <w:p w:rsidR="006319A0" w:rsidRDefault="006319A0" w:rsidP="006319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A0" w:rsidRDefault="006319A0" w:rsidP="006319A0">
      <w:pPr>
        <w:spacing w:before="0" w:line="240" w:lineRule="auto"/>
      </w:pPr>
      <w:r>
        <w:separator/>
      </w:r>
    </w:p>
  </w:footnote>
  <w:footnote w:type="continuationSeparator" w:id="0">
    <w:p w:rsidR="006319A0" w:rsidRDefault="006319A0" w:rsidP="006319A0">
      <w:pPr>
        <w:spacing w:before="0" w:line="240" w:lineRule="auto"/>
      </w:pPr>
      <w:r>
        <w:continuationSeparator/>
      </w:r>
    </w:p>
  </w:footnote>
  <w:footnote w:id="1">
    <w:p w:rsidR="006319A0" w:rsidRPr="00500ADC" w:rsidRDefault="006319A0" w:rsidP="006319A0">
      <w:pPr>
        <w:pStyle w:val="FootnoteText"/>
      </w:pPr>
      <w:r w:rsidRPr="00500ADC">
        <w:rPr>
          <w:rStyle w:val="FootnoteReference"/>
        </w:rPr>
        <w:footnoteRef/>
      </w:r>
      <w:proofErr w:type="spellStart"/>
      <w:r w:rsidRPr="00DE6C7D">
        <w:t>Կապիտալ</w:t>
      </w:r>
      <w:proofErr w:type="spellEnd"/>
      <w:r w:rsidRPr="00DE6C7D">
        <w:t xml:space="preserve"> </w:t>
      </w:r>
      <w:proofErr w:type="spellStart"/>
      <w:r w:rsidRPr="00DE6C7D">
        <w:t>ներդրումներում</w:t>
      </w:r>
      <w:proofErr w:type="spellEnd"/>
      <w:r w:rsidRPr="00DE6C7D">
        <w:t xml:space="preserve"> </w:t>
      </w:r>
      <w:proofErr w:type="spellStart"/>
      <w:r w:rsidRPr="00DE6C7D">
        <w:t>ներառված</w:t>
      </w:r>
      <w:proofErr w:type="spellEnd"/>
      <w:r w:rsidRPr="00DE6C7D">
        <w:t xml:space="preserve"> </w:t>
      </w:r>
      <w:proofErr w:type="spellStart"/>
      <w:r w:rsidRPr="00DE6C7D">
        <w:t>չէ</w:t>
      </w:r>
      <w:proofErr w:type="spellEnd"/>
      <w:r w:rsidRPr="00DE6C7D">
        <w:t xml:space="preserve"> </w:t>
      </w:r>
      <w:proofErr w:type="spellStart"/>
      <w:r w:rsidRPr="00DE6C7D">
        <w:t>պաշարների</w:t>
      </w:r>
      <w:proofErr w:type="spellEnd"/>
      <w:r w:rsidRPr="00DE6C7D">
        <w:t xml:space="preserve"> </w:t>
      </w:r>
      <w:proofErr w:type="spellStart"/>
      <w:r w:rsidRPr="00DE6C7D">
        <w:t>փոփոխությունը</w:t>
      </w:r>
      <w:proofErr w:type="spellEnd"/>
      <w:r w:rsidRPr="00DE6C7D">
        <w:t xml:space="preserve">, </w:t>
      </w:r>
      <w:proofErr w:type="spellStart"/>
      <w:r w:rsidRPr="00DE6C7D">
        <w:t>ներկայացված</w:t>
      </w:r>
      <w:proofErr w:type="spellEnd"/>
      <w:r w:rsidRPr="00DE6C7D">
        <w:t xml:space="preserve"> </w:t>
      </w:r>
      <w:proofErr w:type="spellStart"/>
      <w:r w:rsidRPr="00DE6C7D">
        <w:t>են</w:t>
      </w:r>
      <w:proofErr w:type="spellEnd"/>
      <w:r w:rsidRPr="00DE6C7D">
        <w:t xml:space="preserve"> </w:t>
      </w:r>
      <w:proofErr w:type="spellStart"/>
      <w:r w:rsidRPr="00DE6C7D">
        <w:t>միայն</w:t>
      </w:r>
      <w:proofErr w:type="spellEnd"/>
      <w:r w:rsidRPr="00DE6C7D">
        <w:t xml:space="preserve"> </w:t>
      </w:r>
      <w:proofErr w:type="spellStart"/>
      <w:r w:rsidRPr="00DE6C7D">
        <w:t>հիմնական</w:t>
      </w:r>
      <w:proofErr w:type="spellEnd"/>
      <w:r w:rsidRPr="00DE6C7D">
        <w:t xml:space="preserve"> </w:t>
      </w:r>
      <w:proofErr w:type="spellStart"/>
      <w:r w:rsidRPr="00DE6C7D">
        <w:t>միջոցներում</w:t>
      </w:r>
      <w:proofErr w:type="spellEnd"/>
      <w:r w:rsidRPr="00DE6C7D">
        <w:t xml:space="preserve"> </w:t>
      </w:r>
      <w:proofErr w:type="spellStart"/>
      <w:r w:rsidRPr="00DE6C7D">
        <w:t>կատարված</w:t>
      </w:r>
      <w:proofErr w:type="spellEnd"/>
      <w:r w:rsidRPr="00DE6C7D">
        <w:t xml:space="preserve"> </w:t>
      </w:r>
      <w:proofErr w:type="spellStart"/>
      <w:r w:rsidRPr="00DE6C7D">
        <w:t>կապիտալ</w:t>
      </w:r>
      <w:proofErr w:type="spellEnd"/>
      <w:r w:rsidRPr="00DE6C7D">
        <w:t xml:space="preserve"> </w:t>
      </w:r>
      <w:proofErr w:type="spellStart"/>
      <w:r w:rsidRPr="00DE6C7D">
        <w:t>ներդրումները</w:t>
      </w:r>
      <w:proofErr w:type="spellEnd"/>
      <w:r w:rsidRPr="00DE6C7D">
        <w:t xml:space="preserve">, </w:t>
      </w:r>
      <w:proofErr w:type="spellStart"/>
      <w:r w:rsidRPr="00DE6C7D">
        <w:t>քանի</w:t>
      </w:r>
      <w:proofErr w:type="spellEnd"/>
      <w:r w:rsidRPr="00DE6C7D">
        <w:t xml:space="preserve"> </w:t>
      </w:r>
      <w:proofErr w:type="spellStart"/>
      <w:r w:rsidRPr="00DE6C7D">
        <w:t>որ</w:t>
      </w:r>
      <w:proofErr w:type="spellEnd"/>
      <w:r w:rsidRPr="00DE6C7D">
        <w:t xml:space="preserve"> 2019</w:t>
      </w:r>
      <w:proofErr w:type="gramStart"/>
      <w:r w:rsidRPr="00DE6C7D">
        <w:t>թ.-</w:t>
      </w:r>
      <w:proofErr w:type="gramEnd"/>
      <w:r w:rsidRPr="00DE6C7D">
        <w:t xml:space="preserve">ից ՀՀ ՎԿ </w:t>
      </w:r>
      <w:proofErr w:type="spellStart"/>
      <w:r w:rsidRPr="00DE6C7D">
        <w:t>կողմից</w:t>
      </w:r>
      <w:proofErr w:type="spellEnd"/>
      <w:r w:rsidRPr="00DE6C7D">
        <w:t xml:space="preserve"> </w:t>
      </w:r>
      <w:proofErr w:type="spellStart"/>
      <w:r w:rsidRPr="00DE6C7D">
        <w:t>պաշարների</w:t>
      </w:r>
      <w:proofErr w:type="spellEnd"/>
      <w:r w:rsidRPr="00DE6C7D">
        <w:t xml:space="preserve"> </w:t>
      </w:r>
      <w:proofErr w:type="spellStart"/>
      <w:r w:rsidRPr="00DE6C7D">
        <w:t>փոփոխությունը</w:t>
      </w:r>
      <w:proofErr w:type="spellEnd"/>
      <w:r w:rsidRPr="00DE6C7D">
        <w:t xml:space="preserve"> </w:t>
      </w:r>
      <w:proofErr w:type="spellStart"/>
      <w:r w:rsidRPr="00DE6C7D">
        <w:t>հաշվառվում</w:t>
      </w:r>
      <w:proofErr w:type="spellEnd"/>
      <w:r w:rsidRPr="00DE6C7D">
        <w:t xml:space="preserve"> է </w:t>
      </w:r>
      <w:proofErr w:type="spellStart"/>
      <w:r w:rsidRPr="00DE6C7D">
        <w:t>որպես</w:t>
      </w:r>
      <w:proofErr w:type="spellEnd"/>
      <w:r w:rsidRPr="00DE6C7D">
        <w:t xml:space="preserve"> </w:t>
      </w:r>
      <w:proofErr w:type="spellStart"/>
      <w:r w:rsidRPr="00DE6C7D">
        <w:t>հաշվեկշռող</w:t>
      </w:r>
      <w:proofErr w:type="spellEnd"/>
      <w:r w:rsidRPr="00DE6C7D">
        <w:t xml:space="preserve"> </w:t>
      </w:r>
      <w:proofErr w:type="spellStart"/>
      <w:r w:rsidRPr="00DE6C7D">
        <w:t>գործոն</w:t>
      </w:r>
      <w:proofErr w:type="spellEnd"/>
      <w:r w:rsidRPr="00DE6C7D">
        <w:t xml:space="preserve"> </w:t>
      </w:r>
      <w:proofErr w:type="spellStart"/>
      <w:r w:rsidRPr="00DE6C7D">
        <w:t>կամ</w:t>
      </w:r>
      <w:proofErr w:type="spellEnd"/>
      <w:r w:rsidRPr="00DE6C7D">
        <w:t xml:space="preserve"> </w:t>
      </w:r>
      <w:proofErr w:type="spellStart"/>
      <w:r w:rsidRPr="00DE6C7D">
        <w:t>այլ</w:t>
      </w:r>
      <w:proofErr w:type="spellEnd"/>
      <w:r w:rsidRPr="00DE6C7D">
        <w:t xml:space="preserve"> </w:t>
      </w:r>
      <w:proofErr w:type="spellStart"/>
      <w:r w:rsidRPr="00DE6C7D">
        <w:t>կերպ</w:t>
      </w:r>
      <w:proofErr w:type="spellEnd"/>
      <w:r w:rsidRPr="00DE6C7D">
        <w:t xml:space="preserve">՝ </w:t>
      </w:r>
      <w:proofErr w:type="spellStart"/>
      <w:r w:rsidRPr="00DE6C7D">
        <w:t>վիճակագրական</w:t>
      </w:r>
      <w:proofErr w:type="spellEnd"/>
      <w:r w:rsidRPr="00DE6C7D">
        <w:t xml:space="preserve"> </w:t>
      </w:r>
      <w:proofErr w:type="spellStart"/>
      <w:r w:rsidRPr="00DE6C7D">
        <w:t>սխալները</w:t>
      </w:r>
      <w:proofErr w:type="spellEnd"/>
      <w:r w:rsidRPr="00DE6C7D">
        <w:t xml:space="preserve"> </w:t>
      </w:r>
      <w:proofErr w:type="spellStart"/>
      <w:r w:rsidRPr="00DE6C7D">
        <w:t>ներառվում</w:t>
      </w:r>
      <w:proofErr w:type="spellEnd"/>
      <w:r w:rsidRPr="00DE6C7D">
        <w:t xml:space="preserve"> </w:t>
      </w:r>
      <w:proofErr w:type="spellStart"/>
      <w:r w:rsidRPr="00DE6C7D">
        <w:t>են</w:t>
      </w:r>
      <w:proofErr w:type="spellEnd"/>
      <w:r w:rsidRPr="00DE6C7D">
        <w:t xml:space="preserve"> </w:t>
      </w:r>
      <w:proofErr w:type="spellStart"/>
      <w:r w:rsidRPr="00DE6C7D">
        <w:t>դրա</w:t>
      </w:r>
      <w:proofErr w:type="spellEnd"/>
      <w:r w:rsidRPr="00DE6C7D">
        <w:t xml:space="preserve"> </w:t>
      </w:r>
      <w:proofErr w:type="spellStart"/>
      <w:r w:rsidRPr="00DE6C7D">
        <w:t>մեջ</w:t>
      </w:r>
      <w:proofErr w:type="spellEnd"/>
      <w:r w:rsidRPr="00DE6C7D"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B7"/>
    <w:rsid w:val="00204826"/>
    <w:rsid w:val="004F3AB7"/>
    <w:rsid w:val="006319A0"/>
    <w:rsid w:val="00E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D336"/>
  <w15:chartTrackingRefBased/>
  <w15:docId w15:val="{45871D1F-1D1D-4671-8135-BA65BC2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Normal"/>
    <w:qFormat/>
    <w:rsid w:val="006319A0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6319A0"/>
    <w:rPr>
      <w:rFonts w:ascii="Arial Armenian" w:hAnsi="Arial Armenian"/>
      <w:sz w:val="20"/>
      <w:szCs w:val="20"/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 Char Char,Footnote Text Char Char Char Char Char,f,Footnote Text Char2 Char"/>
    <w:basedOn w:val="Normal"/>
    <w:link w:val="FootnoteTextChar1"/>
    <w:autoRedefine/>
    <w:uiPriority w:val="99"/>
    <w:qFormat/>
    <w:rsid w:val="006319A0"/>
    <w:pPr>
      <w:spacing w:before="0" w:line="240" w:lineRule="auto"/>
      <w:ind w:firstLine="0"/>
    </w:pPr>
    <w:rPr>
      <w:b w:val="0"/>
      <w:iCs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319A0"/>
    <w:rPr>
      <w:rFonts w:ascii="GHEA Grapalat" w:eastAsia="Times New Roman" w:hAnsi="GHEA Grapalat" w:cs="Times New Roman"/>
      <w:b/>
      <w:sz w:val="20"/>
      <w:szCs w:val="20"/>
      <w:lang w:val="ru-RU" w:eastAsia="ru-RU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 Char"/>
    <w:link w:val="FootnoteText"/>
    <w:uiPriority w:val="99"/>
    <w:rsid w:val="006319A0"/>
    <w:rPr>
      <w:rFonts w:ascii="GHEA Grapalat" w:eastAsia="Times New Roman" w:hAnsi="GHEA Grapalat" w:cs="Times New Roman"/>
      <w:iCs/>
      <w:sz w:val="16"/>
      <w:szCs w:val="16"/>
      <w:lang w:val="en-GB"/>
    </w:rPr>
  </w:style>
  <w:style w:type="table" w:customStyle="1" w:styleId="GridTable1Light-Accent51112">
    <w:name w:val="Grid Table 1 Light - Accent 51112"/>
    <w:basedOn w:val="TableNormal"/>
    <w:uiPriority w:val="46"/>
    <w:rsid w:val="006319A0"/>
    <w:pPr>
      <w:spacing w:after="0" w:line="240" w:lineRule="auto"/>
    </w:pPr>
    <w:rPr>
      <w:rFonts w:ascii="Calibri" w:eastAsia="Calibri" w:hAnsi="Calibri" w:cs="Calibri"/>
      <w:lang w:val="hy-AM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Petrosyan</dc:creator>
  <cp:keywords/>
  <dc:description/>
  <cp:lastModifiedBy>Hasmik Petrosyan</cp:lastModifiedBy>
  <cp:revision>3</cp:revision>
  <dcterms:created xsi:type="dcterms:W3CDTF">2021-12-17T09:28:00Z</dcterms:created>
  <dcterms:modified xsi:type="dcterms:W3CDTF">2021-12-17T09:30:00Z</dcterms:modified>
</cp:coreProperties>
</file>